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5143" w14:textId="77777777" w:rsidR="00104AD4" w:rsidRPr="006A5966" w:rsidRDefault="00104AD4" w:rsidP="00104AD4">
      <w:pPr>
        <w:rPr>
          <w:b/>
          <w:bCs/>
          <w:color w:val="FF0000"/>
          <w:lang w:val="en-GB"/>
        </w:rPr>
      </w:pPr>
      <w:r w:rsidRPr="006A5966">
        <w:rPr>
          <w:b/>
          <w:bCs/>
          <w:color w:val="FF0000"/>
          <w:lang w:val="en-GB"/>
        </w:rPr>
        <w:t>ANNUAL INFOGUT GENERAL MEETING</w:t>
      </w:r>
    </w:p>
    <w:p w14:paraId="7D6DD46F" w14:textId="77777777" w:rsidR="00700326" w:rsidRPr="006A5966" w:rsidRDefault="00700326" w:rsidP="00104AD4">
      <w:pPr>
        <w:rPr>
          <w:b/>
          <w:bCs/>
          <w:lang w:val="en-GB"/>
        </w:rPr>
      </w:pPr>
      <w:r w:rsidRPr="006A5966">
        <w:rPr>
          <w:b/>
          <w:bCs/>
          <w:lang w:val="en-GB"/>
        </w:rPr>
        <w:t>MEETING VENUE</w:t>
      </w:r>
    </w:p>
    <w:p w14:paraId="12B6563F" w14:textId="5786E0A8" w:rsidR="002547D7" w:rsidRPr="006A5966" w:rsidRDefault="002547D7" w:rsidP="00E246C6">
      <w:pPr>
        <w:spacing w:line="240" w:lineRule="auto"/>
        <w:rPr>
          <w:lang w:val="it-IT"/>
        </w:rPr>
      </w:pPr>
      <w:r w:rsidRPr="006A5966">
        <w:rPr>
          <w:lang w:val="it-IT"/>
        </w:rPr>
        <w:t>AULA MAGNA - Dipartimento di Scienze e Tecnologie Agro-Alimentari (DISTAL)</w:t>
      </w:r>
      <w:r w:rsidR="00293560" w:rsidRPr="006A5966">
        <w:rPr>
          <w:lang w:val="it-IT"/>
        </w:rPr>
        <w:t xml:space="preserve"> </w:t>
      </w:r>
      <w:r w:rsidRPr="006A5966">
        <w:rPr>
          <w:lang w:val="it-IT"/>
        </w:rPr>
        <w:t>Viale Giuseppe Fanin, 44 BOLOGNA Università di Bologna</w:t>
      </w:r>
    </w:p>
    <w:p w14:paraId="0D24BCC7" w14:textId="77777777" w:rsidR="00293560" w:rsidRPr="006A5966" w:rsidRDefault="00293560" w:rsidP="00104AD4">
      <w:pPr>
        <w:rPr>
          <w:b/>
          <w:bCs/>
          <w:lang w:val="it-IT"/>
        </w:rPr>
      </w:pPr>
    </w:p>
    <w:p w14:paraId="47756436" w14:textId="6C658178" w:rsidR="00104AD4" w:rsidRPr="006A5966" w:rsidRDefault="00104AD4" w:rsidP="00104AD4">
      <w:pPr>
        <w:rPr>
          <w:b/>
          <w:bCs/>
          <w:lang w:val="en-GB"/>
        </w:rPr>
      </w:pPr>
      <w:r w:rsidRPr="006A5966">
        <w:rPr>
          <w:b/>
          <w:bCs/>
          <w:lang w:val="en-GB"/>
        </w:rPr>
        <w:t>DESCRIPTION</w:t>
      </w:r>
    </w:p>
    <w:p w14:paraId="492D7956" w14:textId="478E299E" w:rsidR="00CC446C" w:rsidRPr="006A5966" w:rsidRDefault="00104AD4" w:rsidP="00CC446C">
      <w:pPr>
        <w:rPr>
          <w:lang w:val="en-GB"/>
        </w:rPr>
      </w:pPr>
      <w:r w:rsidRPr="006A5966">
        <w:rPr>
          <w:lang w:val="en-GB"/>
        </w:rPr>
        <w:t xml:space="preserve">Annual INFOGUT general meeting. This will be the largest event of the first Grant Period that will gather Management Committee, Core Group and WG members to </w:t>
      </w:r>
      <w:proofErr w:type="spellStart"/>
      <w:r w:rsidRPr="006A5966">
        <w:rPr>
          <w:lang w:val="en-GB"/>
        </w:rPr>
        <w:t>strenghten</w:t>
      </w:r>
      <w:proofErr w:type="spellEnd"/>
      <w:r w:rsidRPr="006A5966">
        <w:rPr>
          <w:lang w:val="en-GB"/>
        </w:rPr>
        <w:t xml:space="preserve"> the networking activities and evaluate the state of the art of the deliverables of this period.</w:t>
      </w:r>
    </w:p>
    <w:p w14:paraId="4F091E2A" w14:textId="62F6E386" w:rsidR="00CC446C" w:rsidRPr="006A5966" w:rsidRDefault="00CC446C" w:rsidP="00CC446C">
      <w:pPr>
        <w:rPr>
          <w:b/>
          <w:bCs/>
          <w:lang w:val="en-GB"/>
        </w:rPr>
      </w:pPr>
      <w:r w:rsidRPr="006A5966">
        <w:rPr>
          <w:b/>
          <w:bCs/>
          <w:lang w:val="en-GB"/>
        </w:rPr>
        <w:t>T</w:t>
      </w:r>
      <w:r w:rsidR="00104AD4" w:rsidRPr="006A5966">
        <w:rPr>
          <w:b/>
          <w:bCs/>
          <w:lang w:val="en-GB"/>
        </w:rPr>
        <w:t xml:space="preserve">he meeting will be organised in different </w:t>
      </w:r>
      <w:proofErr w:type="gramStart"/>
      <w:r w:rsidR="00104AD4" w:rsidRPr="006A5966">
        <w:rPr>
          <w:b/>
          <w:bCs/>
          <w:lang w:val="en-GB"/>
        </w:rPr>
        <w:t>sessions</w:t>
      </w:r>
      <w:proofErr w:type="gramEnd"/>
      <w:r w:rsidR="00BF0814" w:rsidRPr="006A5966">
        <w:rPr>
          <w:b/>
          <w:bCs/>
          <w:lang w:val="en-GB"/>
        </w:rPr>
        <w:t xml:space="preserve"> and it will be possible to attend</w:t>
      </w:r>
      <w:r w:rsidRPr="006A5966">
        <w:rPr>
          <w:b/>
          <w:bCs/>
          <w:lang w:val="en-GB"/>
        </w:rPr>
        <w:t xml:space="preserve"> </w:t>
      </w:r>
      <w:r w:rsidR="00CE5E09">
        <w:rPr>
          <w:b/>
          <w:bCs/>
          <w:lang w:val="en-GB"/>
        </w:rPr>
        <w:t xml:space="preserve">the General Meeting </w:t>
      </w:r>
      <w:r w:rsidRPr="006A5966">
        <w:rPr>
          <w:b/>
          <w:bCs/>
          <w:lang w:val="en-GB"/>
        </w:rPr>
        <w:t>by remote on this link:</w:t>
      </w:r>
    </w:p>
    <w:p w14:paraId="4179DD95" w14:textId="08B9B277" w:rsidR="00CC446C" w:rsidRPr="006A5966" w:rsidRDefault="00CC446C" w:rsidP="00CC446C">
      <w:pPr>
        <w:jc w:val="center"/>
        <w:rPr>
          <w:b/>
          <w:bCs/>
          <w:lang w:val="en-GB"/>
        </w:rPr>
      </w:pPr>
      <w:hyperlink r:id="rId5" w:history="1">
        <w:r w:rsidRPr="006A5966">
          <w:rPr>
            <w:rStyle w:val="Hyperlink"/>
            <w:b/>
            <w:bCs/>
            <w:lang w:val="en-GB"/>
          </w:rPr>
          <w:t>1st ANNUAL INFOGUT GENERAL MEETING 26-28 MAY 2025 BOLOGNA</w:t>
        </w:r>
      </w:hyperlink>
    </w:p>
    <w:p w14:paraId="7D924288" w14:textId="3719943C" w:rsidR="00104AD4" w:rsidRPr="006A5966" w:rsidRDefault="00104AD4" w:rsidP="00104AD4">
      <w:pPr>
        <w:rPr>
          <w:lang w:val="en-GB"/>
        </w:rPr>
      </w:pPr>
      <w:r w:rsidRPr="006A5966">
        <w:rPr>
          <w:lang w:val="en-GB"/>
        </w:rPr>
        <w:t xml:space="preserve">Below is a preliminary draft of the event: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543"/>
      </w:tblGrid>
      <w:tr w:rsidR="00104AD4" w:rsidRPr="004A1BD7" w14:paraId="4B999096" w14:textId="77777777" w:rsidTr="00153BC5">
        <w:tc>
          <w:tcPr>
            <w:tcW w:w="2405" w:type="dxa"/>
            <w:hideMark/>
          </w:tcPr>
          <w:p w14:paraId="6F0F5038" w14:textId="77777777" w:rsidR="00104AD4" w:rsidRPr="004A1BD7" w:rsidRDefault="00104AD4" w:rsidP="005238A9">
            <w:pPr>
              <w:jc w:val="center"/>
              <w:rPr>
                <w:rFonts w:cs="Arial"/>
                <w:color w:val="FF0000"/>
                <w:lang w:val="en-US"/>
              </w:rPr>
            </w:pPr>
            <w:r w:rsidRPr="004A1BD7">
              <w:rPr>
                <w:rFonts w:cs="Arial"/>
                <w:b/>
                <w:bCs/>
                <w:color w:val="FF0000"/>
                <w:lang w:val="en-US"/>
              </w:rPr>
              <w:t>26/5</w:t>
            </w:r>
          </w:p>
        </w:tc>
        <w:tc>
          <w:tcPr>
            <w:tcW w:w="3119" w:type="dxa"/>
            <w:hideMark/>
          </w:tcPr>
          <w:p w14:paraId="39855514" w14:textId="77777777" w:rsidR="00104AD4" w:rsidRPr="004A1BD7" w:rsidRDefault="00104AD4" w:rsidP="005238A9">
            <w:pPr>
              <w:jc w:val="center"/>
              <w:rPr>
                <w:rFonts w:cs="Arial"/>
                <w:color w:val="FF0000"/>
                <w:lang w:val="en-US"/>
              </w:rPr>
            </w:pPr>
            <w:r w:rsidRPr="004A1BD7">
              <w:rPr>
                <w:rFonts w:cs="Arial"/>
                <w:b/>
                <w:bCs/>
                <w:color w:val="FF0000"/>
                <w:lang w:val="en-US"/>
              </w:rPr>
              <w:t>27/5</w:t>
            </w:r>
          </w:p>
        </w:tc>
        <w:tc>
          <w:tcPr>
            <w:tcW w:w="3543" w:type="dxa"/>
            <w:hideMark/>
          </w:tcPr>
          <w:p w14:paraId="4B1DA6EC" w14:textId="77777777" w:rsidR="00104AD4" w:rsidRPr="004A1BD7" w:rsidRDefault="00104AD4" w:rsidP="005238A9">
            <w:pPr>
              <w:jc w:val="center"/>
              <w:rPr>
                <w:rFonts w:cs="Arial"/>
                <w:color w:val="FF0000"/>
                <w:lang w:val="en-US"/>
              </w:rPr>
            </w:pPr>
            <w:r w:rsidRPr="004A1BD7">
              <w:rPr>
                <w:rFonts w:cs="Arial"/>
                <w:b/>
                <w:bCs/>
                <w:color w:val="FF0000"/>
                <w:lang w:val="en-US"/>
              </w:rPr>
              <w:t xml:space="preserve">28/5 Workshop </w:t>
            </w:r>
            <w:proofErr w:type="gramStart"/>
            <w:r w:rsidRPr="004A1BD7">
              <w:rPr>
                <w:rFonts w:cs="Arial"/>
                <w:b/>
                <w:bCs/>
                <w:color w:val="FF0000"/>
                <w:lang w:val="en-US"/>
              </w:rPr>
              <w:t>with  stakeholders</w:t>
            </w:r>
            <w:proofErr w:type="gramEnd"/>
          </w:p>
        </w:tc>
      </w:tr>
      <w:tr w:rsidR="00BE6FB0" w:rsidRPr="006A5966" w14:paraId="3CBEC228" w14:textId="77777777" w:rsidTr="00BE6FB0">
        <w:trPr>
          <w:trHeight w:val="459"/>
        </w:trPr>
        <w:tc>
          <w:tcPr>
            <w:tcW w:w="2405" w:type="dxa"/>
            <w:vMerge w:val="restart"/>
            <w:hideMark/>
          </w:tcPr>
          <w:p w14:paraId="5D4CB710" w14:textId="6DEE8EC6" w:rsidR="00BE6FB0" w:rsidRPr="00931A28" w:rsidRDefault="00BE6FB0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9-10 C</w:t>
            </w:r>
            <w:r w:rsidR="00D67ED7">
              <w:rPr>
                <w:rFonts w:cs="Arial"/>
                <w:b/>
                <w:bCs/>
                <w:lang w:val="en-US"/>
              </w:rPr>
              <w:t>ORE GROUP MEETING</w:t>
            </w:r>
            <w:r w:rsidR="00931A28">
              <w:rPr>
                <w:rFonts w:cs="Arial"/>
                <w:b/>
                <w:bCs/>
                <w:lang w:val="en-US"/>
              </w:rPr>
              <w:t xml:space="preserve"> </w:t>
            </w:r>
            <w:r w:rsidR="00F977AB">
              <w:rPr>
                <w:rFonts w:cs="Arial"/>
                <w:b/>
                <w:bCs/>
                <w:lang w:val="en-US"/>
              </w:rPr>
              <w:t>(restricted)</w:t>
            </w:r>
          </w:p>
        </w:tc>
        <w:tc>
          <w:tcPr>
            <w:tcW w:w="3119" w:type="dxa"/>
            <w:hideMark/>
          </w:tcPr>
          <w:p w14:paraId="6DB082BA" w14:textId="77777777" w:rsidR="00BE6FB0" w:rsidRDefault="00BE6FB0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9-</w:t>
            </w:r>
            <w:r>
              <w:rPr>
                <w:rFonts w:cs="Arial"/>
                <w:b/>
                <w:bCs/>
                <w:lang w:val="en-US"/>
              </w:rPr>
              <w:t>9.15 K. P</w:t>
            </w:r>
            <w:r w:rsidRPr="00B4532A">
              <w:rPr>
                <w:rFonts w:cs="Arial"/>
                <w:b/>
                <w:bCs/>
                <w:lang w:val="en-US"/>
              </w:rPr>
              <w:t>araskevopoulos</w:t>
            </w:r>
            <w:r>
              <w:rPr>
                <w:rFonts w:cs="Arial"/>
                <w:b/>
                <w:bCs/>
                <w:lang w:val="en-US"/>
              </w:rPr>
              <w:t xml:space="preserve"> (EFSA) </w:t>
            </w:r>
            <w:r w:rsidRPr="003421FF">
              <w:rPr>
                <w:rFonts w:cs="Arial"/>
                <w:lang w:val="en-US"/>
              </w:rPr>
              <w:t>EFSA expectations from INFOGUT</w:t>
            </w:r>
          </w:p>
          <w:p w14:paraId="6317C238" w14:textId="2A1DAA8C" w:rsidR="00BE6FB0" w:rsidRPr="004A1BD7" w:rsidRDefault="00BE6FB0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vMerge w:val="restart"/>
            <w:hideMark/>
          </w:tcPr>
          <w:p w14:paraId="2FA42BF4" w14:textId="5FDEB545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9-9.15 Welcome by UNIBO authorities and Introduction to INFOGUT CA 23110</w:t>
            </w:r>
          </w:p>
          <w:p w14:paraId="4836FD57" w14:textId="671E536C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9.15-10.15 Policy makers </w:t>
            </w:r>
          </w:p>
          <w:p w14:paraId="00A1DA4F" w14:textId="77777777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lang w:val="en-US"/>
              </w:rPr>
              <w:t>JRC presentation</w:t>
            </w:r>
          </w:p>
          <w:p w14:paraId="5C40CB29" w14:textId="789C2A34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lang w:val="en-US"/>
              </w:rPr>
              <w:t>The importance of standardization</w:t>
            </w:r>
            <w:r>
              <w:rPr>
                <w:rFonts w:cs="Arial"/>
                <w:lang w:val="en-US"/>
              </w:rPr>
              <w:t xml:space="preserve">: </w:t>
            </w:r>
            <w:r w:rsidRPr="004A1BD7">
              <w:rPr>
                <w:rFonts w:cs="Arial"/>
                <w:lang w:val="en-US"/>
              </w:rPr>
              <w:t>the JRC vision</w:t>
            </w:r>
          </w:p>
        </w:tc>
      </w:tr>
      <w:tr w:rsidR="00BE6FB0" w:rsidRPr="006A5966" w14:paraId="4A2F5E96" w14:textId="77777777" w:rsidTr="00153BC5">
        <w:trPr>
          <w:trHeight w:val="459"/>
        </w:trPr>
        <w:tc>
          <w:tcPr>
            <w:tcW w:w="2405" w:type="dxa"/>
            <w:vMerge/>
          </w:tcPr>
          <w:p w14:paraId="43061CF2" w14:textId="77777777" w:rsidR="00BE6FB0" w:rsidRPr="004A1BD7" w:rsidRDefault="00BE6FB0" w:rsidP="00673423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5C9155F7" w14:textId="4F248B02" w:rsidR="00BE6FB0" w:rsidRPr="004A1BD7" w:rsidRDefault="00BE6FB0" w:rsidP="00673423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9.15-</w:t>
            </w:r>
            <w:r w:rsidRPr="004A1BD7">
              <w:rPr>
                <w:rFonts w:cs="Arial"/>
                <w:b/>
                <w:bCs/>
                <w:lang w:val="en-US"/>
              </w:rPr>
              <w:t>10.</w:t>
            </w:r>
            <w:r>
              <w:rPr>
                <w:rFonts w:cs="Arial"/>
                <w:b/>
                <w:bCs/>
                <w:lang w:val="en-US"/>
              </w:rPr>
              <w:t>30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reporting by WGs</w:t>
            </w:r>
          </w:p>
        </w:tc>
        <w:tc>
          <w:tcPr>
            <w:tcW w:w="3543" w:type="dxa"/>
            <w:vMerge/>
          </w:tcPr>
          <w:p w14:paraId="4E9BCDB4" w14:textId="77777777" w:rsidR="00BE6FB0" w:rsidRPr="004A1BD7" w:rsidRDefault="00BE6FB0" w:rsidP="00673423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BE6FB0" w:rsidRPr="004A1BD7" w14:paraId="2B944ADA" w14:textId="77777777" w:rsidTr="00153BC5">
        <w:tc>
          <w:tcPr>
            <w:tcW w:w="2405" w:type="dxa"/>
            <w:hideMark/>
          </w:tcPr>
          <w:p w14:paraId="7D2B4ACD" w14:textId="1CE33F51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10-12 MC </w:t>
            </w:r>
            <w:r w:rsidR="00D67ED7">
              <w:rPr>
                <w:rFonts w:cs="Arial"/>
                <w:b/>
                <w:bCs/>
                <w:lang w:val="en-US"/>
              </w:rPr>
              <w:t>MEETING</w:t>
            </w:r>
            <w:r w:rsidR="00F977AB">
              <w:rPr>
                <w:rFonts w:cs="Arial"/>
                <w:b/>
                <w:bCs/>
                <w:lang w:val="en-US"/>
              </w:rPr>
              <w:t xml:space="preserve"> (restricted)</w:t>
            </w:r>
          </w:p>
        </w:tc>
        <w:tc>
          <w:tcPr>
            <w:tcW w:w="3119" w:type="dxa"/>
            <w:hideMark/>
          </w:tcPr>
          <w:p w14:paraId="00E18540" w14:textId="77777777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10.30-11-30 coffee break+ poster session</w:t>
            </w:r>
          </w:p>
        </w:tc>
        <w:tc>
          <w:tcPr>
            <w:tcW w:w="3543" w:type="dxa"/>
            <w:vMerge/>
            <w:hideMark/>
          </w:tcPr>
          <w:p w14:paraId="66C19594" w14:textId="77777777" w:rsidR="00BE6FB0" w:rsidRPr="004A1BD7" w:rsidRDefault="00BE6FB0" w:rsidP="00673423">
            <w:pPr>
              <w:rPr>
                <w:rFonts w:cs="Arial"/>
                <w:lang w:val="en-US"/>
                <w14:ligatures w14:val="standardContextual"/>
              </w:rPr>
            </w:pPr>
          </w:p>
        </w:tc>
      </w:tr>
      <w:tr w:rsidR="00BE6FB0" w:rsidRPr="006A5966" w14:paraId="1AA5F23E" w14:textId="77777777" w:rsidTr="00153BC5">
        <w:tc>
          <w:tcPr>
            <w:tcW w:w="2405" w:type="dxa"/>
            <w:hideMark/>
          </w:tcPr>
          <w:p w14:paraId="73084457" w14:textId="1881AC8F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12-13.30 Lunch (free)</w:t>
            </w:r>
          </w:p>
        </w:tc>
        <w:tc>
          <w:tcPr>
            <w:tcW w:w="3119" w:type="dxa"/>
            <w:hideMark/>
          </w:tcPr>
          <w:p w14:paraId="348C9E7F" w14:textId="77777777" w:rsidR="00BE6FB0" w:rsidRPr="004A1BD7" w:rsidRDefault="00BE6FB0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11.30-12.15 WG1 </w:t>
            </w:r>
          </w:p>
          <w:p w14:paraId="0BD490F0" w14:textId="71E1810C" w:rsidR="00BE6FB0" w:rsidRPr="004A1BD7" w:rsidRDefault="00BE6FB0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Main lecture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25’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 xml:space="preserve">: Fred Warren (QUADRAM) </w:t>
            </w:r>
            <w:r w:rsidRPr="004A1BD7">
              <w:rPr>
                <w:rFonts w:cs="Arial"/>
                <w:lang w:val="en-US"/>
              </w:rPr>
              <w:t>Modelling the impact of diet on the human gut microbiota in health and disease.</w:t>
            </w:r>
          </w:p>
          <w:p w14:paraId="57B56642" w14:textId="55EA8811" w:rsidR="00BE6FB0" w:rsidRPr="004A1BD7" w:rsidRDefault="00BE6FB0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Two short lectures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10’ each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>:</w:t>
            </w:r>
          </w:p>
          <w:p w14:paraId="151F1FC3" w14:textId="4132C0E8" w:rsidR="00BE6FB0" w:rsidRPr="004A1BD7" w:rsidRDefault="00BE6FB0" w:rsidP="00673423">
            <w:pPr>
              <w:rPr>
                <w:rFonts w:eastAsia="Times New Roman" w:cs="Arial"/>
                <w:b/>
                <w:bCs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Mirjana Rajilic-Stojanovic (University of Belgrade)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Exploring Gut Microbial Dynamics in TIM-2: From Fecal </w:t>
            </w:r>
            <w:proofErr w:type="spellStart"/>
            <w:r w:rsidRPr="004A1BD7">
              <w:rPr>
                <w:rFonts w:eastAsia="Times New Roman" w:cs="Arial"/>
                <w:color w:val="000000"/>
                <w:lang w:val="en-US" w:eastAsia="it-IT"/>
              </w:rPr>
              <w:t>Inocula</w:t>
            </w:r>
            <w:proofErr w:type="spellEnd"/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to Functional Readouts.</w:t>
            </w:r>
          </w:p>
          <w:p w14:paraId="66124B56" w14:textId="47E1FF32" w:rsidR="00BE6FB0" w:rsidRPr="00D67ED7" w:rsidRDefault="00BE6FB0" w:rsidP="00673423">
            <w:pPr>
              <w:rPr>
                <w:rFonts w:eastAsia="Times New Roman" w:cs="Arial"/>
                <w:b/>
                <w:bCs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 xml:space="preserve">Irene Chiesa (University of Pisa) </w:t>
            </w:r>
            <w:r w:rsidRPr="004A1BD7">
              <w:rPr>
                <w:rFonts w:cs="Arial"/>
                <w:color w:val="000000"/>
                <w:lang w:val="en-US"/>
              </w:rPr>
              <w:t xml:space="preserve">MICRO-B: a gut microenvironment mimicking bioreactor for human gut microbiota </w:t>
            </w:r>
            <w:r>
              <w:rPr>
                <w:rFonts w:cs="Arial"/>
                <w:i/>
                <w:iCs/>
                <w:color w:val="000000"/>
                <w:lang w:val="en-US"/>
              </w:rPr>
              <w:t>In Vitro</w:t>
            </w:r>
            <w:r w:rsidRPr="004A1BD7">
              <w:rPr>
                <w:rFonts w:cs="Arial"/>
                <w:color w:val="000000"/>
                <w:lang w:val="en-US"/>
              </w:rPr>
              <w:t xml:space="preserve"> culture.</w:t>
            </w:r>
          </w:p>
          <w:p w14:paraId="76DC94A3" w14:textId="3D6A0E33" w:rsidR="00BE6FB0" w:rsidRPr="004A1BD7" w:rsidRDefault="00BE6FB0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vMerge/>
            <w:hideMark/>
          </w:tcPr>
          <w:p w14:paraId="073F18C5" w14:textId="77777777" w:rsidR="00BE6FB0" w:rsidRPr="004A1BD7" w:rsidRDefault="00BE6FB0" w:rsidP="00673423">
            <w:pPr>
              <w:rPr>
                <w:rFonts w:cs="Arial"/>
                <w:lang w:val="en-US"/>
                <w14:ligatures w14:val="standardContextual"/>
              </w:rPr>
            </w:pPr>
          </w:p>
        </w:tc>
      </w:tr>
      <w:tr w:rsidR="00673423" w:rsidRPr="004A1BD7" w14:paraId="3BEFD86E" w14:textId="77777777" w:rsidTr="00BA5CBD">
        <w:trPr>
          <w:trHeight w:val="192"/>
        </w:trPr>
        <w:tc>
          <w:tcPr>
            <w:tcW w:w="2405" w:type="dxa"/>
            <w:shd w:val="clear" w:color="auto" w:fill="D0CECE" w:themeFill="background2" w:themeFillShade="E6"/>
          </w:tcPr>
          <w:p w14:paraId="2BF30924" w14:textId="2476C2E5" w:rsidR="00673423" w:rsidRPr="004A1BD7" w:rsidRDefault="00C853C5" w:rsidP="00D67ED7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OPENING OF GENERAL</w:t>
            </w:r>
            <w:r w:rsidR="00D67ED7">
              <w:rPr>
                <w:rFonts w:cs="Arial"/>
                <w:b/>
                <w:bCs/>
                <w:lang w:val="en-US"/>
              </w:rPr>
              <w:t xml:space="preserve"> MEETING</w:t>
            </w:r>
          </w:p>
        </w:tc>
        <w:tc>
          <w:tcPr>
            <w:tcW w:w="3119" w:type="dxa"/>
          </w:tcPr>
          <w:p w14:paraId="25B27C5A" w14:textId="1FAD930D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12.30-14 Lunch + poster session</w:t>
            </w:r>
          </w:p>
        </w:tc>
        <w:tc>
          <w:tcPr>
            <w:tcW w:w="3543" w:type="dxa"/>
          </w:tcPr>
          <w:p w14:paraId="552FA41E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10.15-10.45 Coffea break</w:t>
            </w:r>
          </w:p>
          <w:p w14:paraId="4B594D1B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673423" w:rsidRPr="004A1BD7" w14:paraId="645AEA96" w14:textId="77777777" w:rsidTr="00D86528">
        <w:trPr>
          <w:trHeight w:val="2646"/>
        </w:trPr>
        <w:tc>
          <w:tcPr>
            <w:tcW w:w="2405" w:type="dxa"/>
            <w:hideMark/>
          </w:tcPr>
          <w:p w14:paraId="00528764" w14:textId="77777777" w:rsidR="004F234B" w:rsidRDefault="004F234B" w:rsidP="00673423">
            <w:pPr>
              <w:rPr>
                <w:rFonts w:cs="Arial"/>
                <w:b/>
                <w:bCs/>
                <w:lang w:val="en-US"/>
              </w:rPr>
            </w:pPr>
          </w:p>
          <w:p w14:paraId="6B4B0299" w14:textId="48DA78A1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13.30-14</w:t>
            </w:r>
            <w:r w:rsidR="004F234B">
              <w:rPr>
                <w:rFonts w:cs="Arial"/>
                <w:b/>
                <w:bCs/>
                <w:lang w:val="en-US"/>
              </w:rPr>
              <w:t>.</w:t>
            </w:r>
            <w:r w:rsidRPr="004A1BD7">
              <w:rPr>
                <w:rFonts w:cs="Arial"/>
                <w:b/>
                <w:bCs/>
                <w:lang w:val="en-US"/>
              </w:rPr>
              <w:t>1</w:t>
            </w:r>
            <w:r>
              <w:rPr>
                <w:rFonts w:cs="Arial"/>
                <w:b/>
                <w:bCs/>
                <w:lang w:val="en-US"/>
              </w:rPr>
              <w:t>0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WG1 meeting</w:t>
            </w:r>
          </w:p>
          <w:p w14:paraId="64918C22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</w:t>
            </w:r>
          </w:p>
        </w:tc>
        <w:tc>
          <w:tcPr>
            <w:tcW w:w="3119" w:type="dxa"/>
            <w:vMerge w:val="restart"/>
            <w:hideMark/>
          </w:tcPr>
          <w:p w14:paraId="5D02D9B1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14.15-15 WG2</w:t>
            </w:r>
          </w:p>
          <w:p w14:paraId="7B981D67" w14:textId="30660469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Main lecture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25’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>: Pranjul Shah (University of Luxembourg)</w:t>
            </w:r>
            <w:r w:rsidRPr="004A1BD7">
              <w:rPr>
                <w:rFonts w:cs="Arial"/>
                <w:lang w:val="en-US"/>
              </w:rPr>
              <w:t xml:space="preserve"> Advancing Digestive Physiology and Microbiome Research with the </w:t>
            </w:r>
            <w:proofErr w:type="spellStart"/>
            <w:r w:rsidRPr="004A1BD7">
              <w:rPr>
                <w:rFonts w:cs="Arial"/>
                <w:lang w:val="en-US"/>
              </w:rPr>
              <w:t>microGUT</w:t>
            </w:r>
            <w:proofErr w:type="spellEnd"/>
            <w:r w:rsidRPr="004A1BD7">
              <w:rPr>
                <w:rFonts w:cs="Arial"/>
                <w:lang w:val="en-US"/>
              </w:rPr>
              <w:t xml:space="preserve"> System: A Microfluidic Platform for Studying Human Intestinal Function.</w:t>
            </w:r>
          </w:p>
          <w:p w14:paraId="0D81B0AB" w14:textId="32192EBE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Two short lectures 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10’ each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>:</w:t>
            </w:r>
          </w:p>
          <w:p w14:paraId="79EDAC8B" w14:textId="34F4C7F6" w:rsidR="00673423" w:rsidRPr="004A1BD7" w:rsidRDefault="00673423" w:rsidP="00673423">
            <w:pPr>
              <w:rPr>
                <w:rFonts w:eastAsia="Times New Roman" w:cs="Arial"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lastRenderedPageBreak/>
              <w:t xml:space="preserve">Karen </w:t>
            </w:r>
            <w:proofErr w:type="spellStart"/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Delbaere</w:t>
            </w:r>
            <w:proofErr w:type="spellEnd"/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 xml:space="preserve"> (Gent University)</w:t>
            </w:r>
            <w:r w:rsidRPr="004A1BD7">
              <w:rPr>
                <w:rFonts w:cs="Arial"/>
                <w:lang w:val="en-US"/>
              </w:rPr>
              <w:t xml:space="preserve"> 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Development of a Small Intestinal Microbial Community in an </w:t>
            </w:r>
            <w:r>
              <w:rPr>
                <w:rFonts w:eastAsia="Times New Roman" w:cs="Arial"/>
                <w:i/>
                <w:iCs/>
                <w:color w:val="000000"/>
                <w:lang w:val="en-US" w:eastAsia="it-IT"/>
              </w:rPr>
              <w:t>In Vitro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Gut</w:t>
            </w: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 xml:space="preserve"> 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>Model through Consecutive Oral-Gut Transmission.</w:t>
            </w:r>
          </w:p>
          <w:p w14:paraId="74C8AC63" w14:textId="70B04CE3" w:rsidR="00673423" w:rsidRPr="004A1BD7" w:rsidRDefault="00673423" w:rsidP="00673423">
            <w:pPr>
              <w:rPr>
                <w:rFonts w:eastAsia="Times New Roman" w:cs="Arial"/>
                <w:b/>
                <w:bCs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Auriane Bron (University of Clermont Auvergne)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Small is not large intestine</w:t>
            </w:r>
            <w:r>
              <w:rPr>
                <w:rFonts w:eastAsia="Times New Roman" w:cs="Arial"/>
                <w:color w:val="000000"/>
                <w:lang w:val="en-US" w:eastAsia="it-IT"/>
              </w:rPr>
              <w:t>: h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ow to integrate these distinct features in a new </w:t>
            </w:r>
            <w:r>
              <w:rPr>
                <w:rFonts w:eastAsia="Times New Roman" w:cs="Arial"/>
                <w:i/>
                <w:iCs/>
                <w:color w:val="000000"/>
                <w:lang w:val="en-US" w:eastAsia="it-IT"/>
              </w:rPr>
              <w:t>In Vitro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model of the human ileal microbiome?</w:t>
            </w:r>
          </w:p>
          <w:p w14:paraId="3EB9DB74" w14:textId="77812582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vMerge w:val="restart"/>
            <w:hideMark/>
          </w:tcPr>
          <w:p w14:paraId="7743C047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lastRenderedPageBreak/>
              <w:t>10.45-13 ROUNDTABLE WITH STAKEHOLDERS</w:t>
            </w:r>
          </w:p>
          <w:p w14:paraId="2DCDEE54" w14:textId="77777777" w:rsidR="00673423" w:rsidRPr="004A1BD7" w:rsidRDefault="00673423" w:rsidP="00673423">
            <w:pPr>
              <w:rPr>
                <w:rFonts w:cs="Arial"/>
                <w:b/>
                <w:bCs/>
                <w:i/>
                <w:iCs/>
                <w:lang w:val="en-US"/>
              </w:rPr>
            </w:pPr>
          </w:p>
          <w:p w14:paraId="37F3B4C6" w14:textId="13D3576F" w:rsidR="00673423" w:rsidRPr="004A1BD7" w:rsidRDefault="00673423" w:rsidP="00673423">
            <w:pPr>
              <w:rPr>
                <w:rFonts w:cs="Arial"/>
                <w:i/>
                <w:iCs/>
                <w:lang w:val="en-US"/>
              </w:rPr>
            </w:pPr>
            <w:r w:rsidRPr="004A1BD7">
              <w:rPr>
                <w:rFonts w:cs="Arial"/>
                <w:b/>
                <w:bCs/>
                <w:i/>
                <w:iCs/>
                <w:lang w:val="en-US"/>
              </w:rPr>
              <w:t>1.</w:t>
            </w:r>
            <w:r w:rsidRPr="004A1BD7">
              <w:rPr>
                <w:rFonts w:cs="Arial"/>
                <w:i/>
                <w:iCs/>
                <w:lang w:val="en-US"/>
              </w:rPr>
              <w:t xml:space="preserve"> How </w:t>
            </w:r>
            <w:proofErr w:type="gramStart"/>
            <w:r w:rsidRPr="004A1BD7">
              <w:rPr>
                <w:rFonts w:cs="Arial"/>
                <w:i/>
                <w:iCs/>
                <w:lang w:val="en-US"/>
              </w:rPr>
              <w:t>the use of gut microbiota models could</w:t>
            </w:r>
            <w:proofErr w:type="gramEnd"/>
            <w:r w:rsidRPr="004A1BD7">
              <w:rPr>
                <w:rFonts w:cs="Arial"/>
                <w:i/>
                <w:iCs/>
                <w:lang w:val="en-US"/>
              </w:rPr>
              <w:t xml:space="preserve"> contribute to research and innovation advancements?</w:t>
            </w:r>
          </w:p>
          <w:p w14:paraId="3EBC9DE2" w14:textId="77777777" w:rsidR="00673423" w:rsidRPr="004A1BD7" w:rsidRDefault="00673423" w:rsidP="00673423">
            <w:pPr>
              <w:rPr>
                <w:rFonts w:cs="Arial"/>
                <w:b/>
                <w:bCs/>
                <w:i/>
                <w:iCs/>
                <w:lang w:val="en-US"/>
              </w:rPr>
            </w:pPr>
          </w:p>
          <w:p w14:paraId="5CADEDAA" w14:textId="4773C0EA" w:rsidR="00673423" w:rsidRPr="004A1BD7" w:rsidRDefault="00673423" w:rsidP="00673423">
            <w:pPr>
              <w:rPr>
                <w:rFonts w:cs="Arial"/>
                <w:i/>
                <w:iCs/>
                <w:lang w:val="en-US"/>
              </w:rPr>
            </w:pPr>
            <w:r w:rsidRPr="004A1BD7">
              <w:rPr>
                <w:rFonts w:cs="Arial"/>
                <w:b/>
                <w:bCs/>
                <w:i/>
                <w:iCs/>
                <w:lang w:val="en-US"/>
              </w:rPr>
              <w:t>2.</w:t>
            </w:r>
            <w:r w:rsidRPr="004A1BD7">
              <w:rPr>
                <w:rFonts w:cs="Arial"/>
                <w:i/>
                <w:iCs/>
                <w:lang w:val="en-US"/>
              </w:rPr>
              <w:t xml:space="preserve"> What key barriers must be addressed to increase the use of gut models in food and </w:t>
            </w:r>
            <w:proofErr w:type="gramStart"/>
            <w:r w:rsidRPr="004A1BD7">
              <w:rPr>
                <w:rFonts w:cs="Arial"/>
                <w:i/>
                <w:iCs/>
                <w:lang w:val="en-US"/>
              </w:rPr>
              <w:t>feed</w:t>
            </w:r>
            <w:proofErr w:type="gramEnd"/>
            <w:r w:rsidRPr="004A1BD7">
              <w:rPr>
                <w:rFonts w:cs="Arial"/>
                <w:i/>
                <w:iCs/>
                <w:lang w:val="en-US"/>
              </w:rPr>
              <w:t xml:space="preserve"> R&amp;D?</w:t>
            </w:r>
          </w:p>
          <w:p w14:paraId="116A572C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  <w:p w14:paraId="1783694E" w14:textId="6501CEE0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lastRenderedPageBreak/>
              <w:t xml:space="preserve">Mathilde </w:t>
            </w:r>
            <w:proofErr w:type="spellStart"/>
            <w:r w:rsidRPr="004A1BD7">
              <w:rPr>
                <w:rFonts w:cs="Arial"/>
                <w:b/>
                <w:bCs/>
                <w:lang w:val="en-US"/>
              </w:rPr>
              <w:t>Guerville</w:t>
            </w:r>
            <w:proofErr w:type="spellEnd"/>
            <w:r w:rsidRPr="004A1BD7">
              <w:rPr>
                <w:rFonts w:cs="Arial"/>
                <w:b/>
                <w:bCs/>
                <w:lang w:val="en-US"/>
              </w:rPr>
              <w:t xml:space="preserve"> (Lactalis)</w:t>
            </w:r>
          </w:p>
          <w:p w14:paraId="276B80F2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Enzo Spisni (TGD) </w:t>
            </w:r>
          </w:p>
          <w:p w14:paraId="7B24C894" w14:textId="623E92D0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(2 more)</w:t>
            </w:r>
          </w:p>
          <w:p w14:paraId="4D2FD4FE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  <w:p w14:paraId="23D603C2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</w:t>
            </w:r>
          </w:p>
        </w:tc>
      </w:tr>
      <w:tr w:rsidR="00673423" w:rsidRPr="004A1BD7" w14:paraId="7C0CDA8C" w14:textId="77777777" w:rsidTr="00153BC5">
        <w:trPr>
          <w:trHeight w:val="2646"/>
        </w:trPr>
        <w:tc>
          <w:tcPr>
            <w:tcW w:w="2405" w:type="dxa"/>
          </w:tcPr>
          <w:p w14:paraId="5D0C8881" w14:textId="78B505C9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lastRenderedPageBreak/>
              <w:t>14.1</w:t>
            </w:r>
            <w:r>
              <w:rPr>
                <w:rFonts w:cs="Arial"/>
                <w:b/>
                <w:bCs/>
                <w:lang w:val="en-US"/>
              </w:rPr>
              <w:t>0</w:t>
            </w:r>
            <w:r w:rsidRPr="004A1BD7">
              <w:rPr>
                <w:rFonts w:cs="Arial"/>
                <w:b/>
                <w:bCs/>
                <w:lang w:val="en-US"/>
              </w:rPr>
              <w:t>-1</w:t>
            </w:r>
            <w:r>
              <w:rPr>
                <w:rFonts w:cs="Arial"/>
                <w:b/>
                <w:bCs/>
                <w:lang w:val="en-US"/>
              </w:rPr>
              <w:t>4.50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WG2 meeting</w:t>
            </w:r>
          </w:p>
          <w:p w14:paraId="34278718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119" w:type="dxa"/>
            <w:vMerge/>
          </w:tcPr>
          <w:p w14:paraId="6B7679F5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543" w:type="dxa"/>
            <w:vMerge/>
          </w:tcPr>
          <w:p w14:paraId="3B31AED4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673423" w:rsidRPr="004A1BD7" w14:paraId="1A4943DF" w14:textId="77777777" w:rsidTr="00153BC5">
        <w:tc>
          <w:tcPr>
            <w:tcW w:w="2405" w:type="dxa"/>
            <w:hideMark/>
          </w:tcPr>
          <w:p w14:paraId="0EE676C7" w14:textId="23BA072B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</w:t>
            </w:r>
            <w:r>
              <w:rPr>
                <w:rFonts w:cs="Arial"/>
                <w:b/>
                <w:bCs/>
                <w:lang w:val="en-US"/>
              </w:rPr>
              <w:t>4.50</w:t>
            </w:r>
            <w:r w:rsidRPr="004A1BD7">
              <w:rPr>
                <w:rFonts w:cs="Arial"/>
                <w:b/>
                <w:bCs/>
                <w:lang w:val="en-US"/>
              </w:rPr>
              <w:t>-15.</w:t>
            </w:r>
            <w:r>
              <w:rPr>
                <w:rFonts w:cs="Arial"/>
                <w:b/>
                <w:bCs/>
                <w:lang w:val="en-US"/>
              </w:rPr>
              <w:t>2</w:t>
            </w:r>
            <w:r w:rsidRPr="004A1BD7">
              <w:rPr>
                <w:rFonts w:cs="Arial"/>
                <w:b/>
                <w:bCs/>
                <w:lang w:val="en-US"/>
              </w:rPr>
              <w:t>0 Coffea break</w:t>
            </w:r>
          </w:p>
        </w:tc>
        <w:tc>
          <w:tcPr>
            <w:tcW w:w="3119" w:type="dxa"/>
            <w:hideMark/>
          </w:tcPr>
          <w:p w14:paraId="2DEF3145" w14:textId="1A172B6C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vMerge/>
            <w:hideMark/>
          </w:tcPr>
          <w:p w14:paraId="4C41FB0F" w14:textId="77777777" w:rsidR="00673423" w:rsidRPr="004A1BD7" w:rsidRDefault="00673423" w:rsidP="00673423">
            <w:pPr>
              <w:rPr>
                <w:rFonts w:cs="Arial"/>
                <w:lang w:val="en-US"/>
                <w14:ligatures w14:val="standardContextual"/>
              </w:rPr>
            </w:pPr>
          </w:p>
        </w:tc>
      </w:tr>
      <w:tr w:rsidR="00673423" w:rsidRPr="006A5966" w14:paraId="51A51703" w14:textId="77777777" w:rsidTr="00D86528">
        <w:trPr>
          <w:trHeight w:val="3564"/>
        </w:trPr>
        <w:tc>
          <w:tcPr>
            <w:tcW w:w="2405" w:type="dxa"/>
            <w:hideMark/>
          </w:tcPr>
          <w:p w14:paraId="07BD7830" w14:textId="76B59144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15.</w:t>
            </w:r>
            <w:r>
              <w:rPr>
                <w:rFonts w:cs="Arial"/>
                <w:b/>
                <w:bCs/>
                <w:lang w:val="en-US"/>
              </w:rPr>
              <w:t>2</w:t>
            </w:r>
            <w:r w:rsidRPr="004A1BD7">
              <w:rPr>
                <w:rFonts w:cs="Arial"/>
                <w:b/>
                <w:bCs/>
                <w:lang w:val="en-US"/>
              </w:rPr>
              <w:t>0-16 WG3 meeting</w:t>
            </w:r>
          </w:p>
          <w:p w14:paraId="0AB8896E" w14:textId="1C8CF7A6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 w:val="restart"/>
            <w:hideMark/>
          </w:tcPr>
          <w:p w14:paraId="3264F044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15-15.45 WG3  </w:t>
            </w:r>
          </w:p>
          <w:p w14:paraId="0B8C9CC9" w14:textId="4C0B847D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Main lecture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25’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 xml:space="preserve">: Ludovica Marinelli (Gent University) </w:t>
            </w:r>
            <w:r w:rsidRPr="004A1BD7">
              <w:rPr>
                <w:rFonts w:cs="Arial"/>
                <w:lang w:val="en-US"/>
              </w:rPr>
              <w:t xml:space="preserve">SBS-microbe: an </w:t>
            </w:r>
            <w:r>
              <w:rPr>
                <w:rFonts w:cs="Arial"/>
                <w:i/>
                <w:iCs/>
                <w:lang w:val="en-US"/>
              </w:rPr>
              <w:t>In Vitro</w:t>
            </w:r>
            <w:r w:rsidRPr="004A1BD7">
              <w:rPr>
                <w:rFonts w:cs="Arial"/>
                <w:lang w:val="en-US"/>
              </w:rPr>
              <w:t xml:space="preserve"> approach to identify microbial and cellular signatures of Short Bowel Syndrome.</w:t>
            </w:r>
          </w:p>
          <w:p w14:paraId="30EF63B0" w14:textId="681ABB6B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Four short lectures </w:t>
            </w:r>
            <w:r>
              <w:rPr>
                <w:rFonts w:cs="Arial"/>
                <w:b/>
                <w:bCs/>
                <w:lang w:val="en-US"/>
              </w:rPr>
              <w:t>(two 7’ and two 3’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each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>:</w:t>
            </w:r>
          </w:p>
          <w:p w14:paraId="435CBD38" w14:textId="0F048CAB" w:rsidR="00673423" w:rsidRPr="004A1BD7" w:rsidRDefault="00673423" w:rsidP="00673423">
            <w:pPr>
              <w:rPr>
                <w:rFonts w:eastAsia="Times New Roman" w:cs="Arial"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Charlotte Deschamps (University of Clermont Auvergne)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From patient stool to mechanistic insights: modeling IBS-D gut microbiota in M-ARCOL. </w:t>
            </w:r>
          </w:p>
          <w:p w14:paraId="57D3E4B6" w14:textId="1F229B32" w:rsidR="00673423" w:rsidRPr="004A1BD7" w:rsidRDefault="00673423" w:rsidP="00673423">
            <w:pPr>
              <w:rPr>
                <w:rFonts w:eastAsia="Times New Roman" w:cs="Arial"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 xml:space="preserve">Elena Diez (AINIA </w:t>
            </w:r>
            <w:proofErr w:type="spellStart"/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Techological</w:t>
            </w:r>
            <w:proofErr w:type="spellEnd"/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 xml:space="preserve"> Center, Spain)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Advanced experimental models to reproduce intestinal dysbiosis.</w:t>
            </w:r>
          </w:p>
          <w:p w14:paraId="69846D80" w14:textId="56B1FA7D" w:rsidR="00673423" w:rsidRPr="004A1BD7" w:rsidRDefault="00673423" w:rsidP="00673423">
            <w:pPr>
              <w:rPr>
                <w:rFonts w:eastAsia="Times New Roman" w:cs="Arial"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Ines Moura (University of Leeds)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</w:t>
            </w:r>
            <w:r>
              <w:rPr>
                <w:rFonts w:eastAsia="Times New Roman" w:cs="Arial"/>
                <w:i/>
                <w:iCs/>
                <w:color w:val="000000"/>
                <w:lang w:val="en-US" w:eastAsia="it-IT"/>
              </w:rPr>
              <w:t>In Vitro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colonic infant model to study interactions between allergic cow´s milk proteins and patient´s microbiota.</w:t>
            </w:r>
          </w:p>
          <w:p w14:paraId="6CE01D62" w14:textId="193E4CFF" w:rsidR="00673423" w:rsidRPr="004A1BD7" w:rsidRDefault="00673423" w:rsidP="00673423">
            <w:pPr>
              <w:rPr>
                <w:rFonts w:eastAsia="Times New Roman" w:cs="Arial"/>
                <w:color w:val="000000"/>
                <w:lang w:val="en-US" w:eastAsia="it-IT"/>
              </w:rPr>
            </w:pPr>
            <w:r w:rsidRPr="004A1BD7">
              <w:rPr>
                <w:rFonts w:eastAsia="Times New Roman" w:cs="Arial"/>
                <w:b/>
                <w:bCs/>
                <w:color w:val="000000"/>
                <w:lang w:val="en-US" w:eastAsia="it-IT"/>
              </w:rPr>
              <w:t>Susanna Delgado (Spanish National Research Council)</w:t>
            </w:r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Using a miniature gut model (MiGut) to define microbiota ecologies using different </w:t>
            </w:r>
            <w:proofErr w:type="spellStart"/>
            <w:r w:rsidRPr="004A1BD7">
              <w:rPr>
                <w:rFonts w:eastAsia="Times New Roman" w:cs="Arial"/>
                <w:color w:val="000000"/>
                <w:lang w:val="en-US" w:eastAsia="it-IT"/>
              </w:rPr>
              <w:t>faecal</w:t>
            </w:r>
            <w:proofErr w:type="spellEnd"/>
            <w:r w:rsidRPr="004A1BD7">
              <w:rPr>
                <w:rFonts w:eastAsia="Times New Roman" w:cs="Arial"/>
                <w:color w:val="000000"/>
                <w:lang w:val="en-US" w:eastAsia="it-IT"/>
              </w:rPr>
              <w:t xml:space="preserve"> concentrations.</w:t>
            </w:r>
          </w:p>
          <w:p w14:paraId="296C7658" w14:textId="5F828E17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vMerge w:val="restart"/>
            <w:hideMark/>
          </w:tcPr>
          <w:p w14:paraId="7060EE5B" w14:textId="1419193C" w:rsidR="00673423" w:rsidRPr="00042471" w:rsidRDefault="00042471" w:rsidP="00673423">
            <w:pPr>
              <w:rPr>
                <w:rFonts w:cs="Arial"/>
                <w:b/>
                <w:bCs/>
                <w:lang w:val="en-US"/>
              </w:rPr>
            </w:pPr>
            <w:r w:rsidRPr="00042471">
              <w:rPr>
                <w:rFonts w:cs="Arial"/>
                <w:b/>
                <w:bCs/>
                <w:lang w:val="en-US"/>
              </w:rPr>
              <w:t>Concluding remarks</w:t>
            </w:r>
            <w:r w:rsidR="002050E5">
              <w:rPr>
                <w:rFonts w:cs="Arial"/>
                <w:b/>
                <w:bCs/>
                <w:lang w:val="en-US"/>
              </w:rPr>
              <w:t xml:space="preserve"> (Chair and Vice Chair)</w:t>
            </w:r>
          </w:p>
        </w:tc>
      </w:tr>
      <w:tr w:rsidR="00673423" w:rsidRPr="006A5966" w14:paraId="0C6155EC" w14:textId="77777777" w:rsidTr="00153BC5">
        <w:trPr>
          <w:trHeight w:val="3564"/>
        </w:trPr>
        <w:tc>
          <w:tcPr>
            <w:tcW w:w="2405" w:type="dxa"/>
          </w:tcPr>
          <w:p w14:paraId="740DC066" w14:textId="28A559CA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16-</w:t>
            </w:r>
            <w:r>
              <w:rPr>
                <w:rFonts w:cs="Arial"/>
                <w:b/>
                <w:bCs/>
                <w:lang w:val="en-US"/>
              </w:rPr>
              <w:t>16.40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WG4 meeting</w:t>
            </w:r>
          </w:p>
        </w:tc>
        <w:tc>
          <w:tcPr>
            <w:tcW w:w="3119" w:type="dxa"/>
            <w:vMerge/>
          </w:tcPr>
          <w:p w14:paraId="4E9B062F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543" w:type="dxa"/>
            <w:vMerge/>
          </w:tcPr>
          <w:p w14:paraId="2C49201A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</w:tr>
      <w:tr w:rsidR="00673423" w:rsidRPr="00345A54" w14:paraId="6AF08C5B" w14:textId="77777777" w:rsidTr="00153BC5">
        <w:tc>
          <w:tcPr>
            <w:tcW w:w="2405" w:type="dxa"/>
            <w:hideMark/>
          </w:tcPr>
          <w:p w14:paraId="4570B4F7" w14:textId="7E43CD0D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</w:t>
            </w:r>
            <w:r>
              <w:rPr>
                <w:rFonts w:cs="Arial"/>
                <w:b/>
                <w:bCs/>
                <w:lang w:val="en-US"/>
              </w:rPr>
              <w:t>6.40</w:t>
            </w:r>
            <w:r w:rsidRPr="004A1BD7">
              <w:rPr>
                <w:rFonts w:cs="Arial"/>
                <w:b/>
                <w:bCs/>
                <w:lang w:val="en-US"/>
              </w:rPr>
              <w:t>-17.</w:t>
            </w:r>
            <w:r>
              <w:rPr>
                <w:rFonts w:cs="Arial"/>
                <w:b/>
                <w:bCs/>
                <w:lang w:val="en-US"/>
              </w:rPr>
              <w:t>20</w:t>
            </w:r>
            <w:r w:rsidRPr="004A1BD7">
              <w:rPr>
                <w:rFonts w:cs="Arial"/>
                <w:b/>
                <w:bCs/>
                <w:lang w:val="en-US"/>
              </w:rPr>
              <w:t xml:space="preserve"> WG5 meeting</w:t>
            </w:r>
          </w:p>
        </w:tc>
        <w:tc>
          <w:tcPr>
            <w:tcW w:w="3119" w:type="dxa"/>
            <w:hideMark/>
          </w:tcPr>
          <w:p w14:paraId="645185B5" w14:textId="77777777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15.45-16.30 WG4</w:t>
            </w:r>
          </w:p>
          <w:p w14:paraId="4560A706" w14:textId="53447253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Main lecture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25’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 xml:space="preserve">: Nicola </w:t>
            </w:r>
            <w:proofErr w:type="spellStart"/>
            <w:r w:rsidRPr="004A1BD7">
              <w:rPr>
                <w:rFonts w:cs="Arial"/>
                <w:b/>
                <w:bCs/>
                <w:lang w:val="en-US"/>
              </w:rPr>
              <w:t>Segata</w:t>
            </w:r>
            <w:proofErr w:type="spellEnd"/>
            <w:r w:rsidRPr="004A1BD7">
              <w:rPr>
                <w:rFonts w:cs="Arial"/>
                <w:b/>
                <w:bCs/>
                <w:lang w:val="en-US"/>
              </w:rPr>
              <w:t xml:space="preserve"> (University of Trento) </w:t>
            </w:r>
            <w:r w:rsidRPr="004A1BD7">
              <w:rPr>
                <w:rFonts w:cs="Arial"/>
                <w:lang w:val="en-US"/>
              </w:rPr>
              <w:t>Standardized data and tools for large-scale reproducible human microbiome research</w:t>
            </w:r>
            <w:r>
              <w:rPr>
                <w:rFonts w:cs="Arial"/>
                <w:lang w:val="en-US"/>
              </w:rPr>
              <w:t>.</w:t>
            </w:r>
          </w:p>
          <w:p w14:paraId="4D953983" w14:textId="46E2C137" w:rsidR="00673423" w:rsidRPr="00345A54" w:rsidRDefault="00673423" w:rsidP="00673423">
            <w:pPr>
              <w:rPr>
                <w:rFonts w:cs="Arial"/>
                <w:b/>
                <w:bCs/>
                <w:lang w:val="en-GB"/>
              </w:rPr>
            </w:pPr>
            <w:r w:rsidRPr="00345A54">
              <w:rPr>
                <w:rFonts w:cs="Arial"/>
                <w:b/>
                <w:bCs/>
                <w:lang w:val="en-GB"/>
              </w:rPr>
              <w:t xml:space="preserve">Short lectures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10’ each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>:</w:t>
            </w:r>
          </w:p>
          <w:p w14:paraId="27F47510" w14:textId="390B89D3" w:rsidR="00673423" w:rsidRPr="00635AE9" w:rsidRDefault="00673423" w:rsidP="00673423">
            <w:pPr>
              <w:rPr>
                <w:rFonts w:cs="Arial"/>
                <w:b/>
                <w:bCs/>
                <w:lang w:val="en-GB"/>
              </w:rPr>
            </w:pPr>
            <w:r w:rsidRPr="00635AE9">
              <w:rPr>
                <w:rFonts w:cs="Arial"/>
                <w:b/>
                <w:bCs/>
                <w:lang w:val="en-GB"/>
              </w:rPr>
              <w:t xml:space="preserve">Anna </w:t>
            </w:r>
            <w:proofErr w:type="spellStart"/>
            <w:r w:rsidRPr="00635AE9">
              <w:rPr>
                <w:rFonts w:cs="Arial"/>
                <w:b/>
                <w:bCs/>
                <w:lang w:val="en-GB"/>
              </w:rPr>
              <w:t>Mascellani</w:t>
            </w:r>
            <w:proofErr w:type="spellEnd"/>
            <w:r w:rsidRPr="00635AE9">
              <w:rPr>
                <w:rFonts w:cs="Arial"/>
                <w:b/>
                <w:bCs/>
                <w:lang w:val="en-GB"/>
              </w:rPr>
              <w:t xml:space="preserve"> Bergo (Department of Food Science, Czech</w:t>
            </w:r>
            <w:r>
              <w:rPr>
                <w:rFonts w:cs="Arial"/>
                <w:b/>
                <w:bCs/>
                <w:lang w:val="en-GB"/>
              </w:rPr>
              <w:t xml:space="preserve"> University of Life Sciences, Prague.) </w:t>
            </w:r>
            <w:r w:rsidRPr="00635AE9">
              <w:rPr>
                <w:rFonts w:cs="Arial"/>
                <w:lang w:val="en-GB"/>
              </w:rPr>
              <w:t xml:space="preserve">Journal club: Multi-omics in </w:t>
            </w:r>
            <w:r w:rsidRPr="00635AE9">
              <w:rPr>
                <w:rFonts w:cs="Arial"/>
                <w:i/>
                <w:iCs/>
                <w:lang w:val="en-GB"/>
              </w:rPr>
              <w:t>in vitro</w:t>
            </w:r>
            <w:r w:rsidRPr="00635AE9">
              <w:rPr>
                <w:rFonts w:cs="Arial"/>
                <w:lang w:val="en-GB"/>
              </w:rPr>
              <w:t xml:space="preserve"> models.</w:t>
            </w:r>
          </w:p>
          <w:p w14:paraId="2F717521" w14:textId="4F6C559B" w:rsidR="00673423" w:rsidRPr="00345A54" w:rsidRDefault="00673423" w:rsidP="00673423">
            <w:pPr>
              <w:rPr>
                <w:rFonts w:cs="Arial"/>
                <w:b/>
                <w:bCs/>
                <w:lang w:val="en-GB"/>
              </w:rPr>
            </w:pPr>
            <w:r w:rsidRPr="00345A54">
              <w:rPr>
                <w:rFonts w:cs="Arial"/>
                <w:b/>
                <w:bCs/>
                <w:lang w:val="en-GB"/>
              </w:rPr>
              <w:t xml:space="preserve">Petra </w:t>
            </w:r>
            <w:proofErr w:type="spellStart"/>
            <w:r w:rsidRPr="00345A54">
              <w:rPr>
                <w:rFonts w:cs="Arial"/>
                <w:b/>
                <w:bCs/>
                <w:lang w:val="en-GB"/>
              </w:rPr>
              <w:t>Polakovičová</w:t>
            </w:r>
            <w:proofErr w:type="spellEnd"/>
            <w:r w:rsidRPr="00345A54">
              <w:rPr>
                <w:rFonts w:cs="Arial"/>
                <w:b/>
                <w:bCs/>
                <w:lang w:val="en-GB"/>
              </w:rPr>
              <w:t xml:space="preserve"> Robust </w:t>
            </w:r>
            <w:r w:rsidRPr="00635AE9">
              <w:rPr>
                <w:rFonts w:cs="Arial"/>
                <w:b/>
                <w:bCs/>
                <w:lang w:val="en-GB"/>
              </w:rPr>
              <w:t xml:space="preserve">(Institute for Clinical and Experimental Medicine (IKEM) </w:t>
            </w:r>
            <w:r w:rsidRPr="00345A54">
              <w:rPr>
                <w:rFonts w:cs="Arial"/>
                <w:lang w:val="en-GB"/>
              </w:rPr>
              <w:lastRenderedPageBreak/>
              <w:t>Benchmarking of Microbiome Bioinformatics Tools: A Collaborative Effort in COST Action WG4</w:t>
            </w:r>
            <w:r>
              <w:rPr>
                <w:rFonts w:cs="Arial"/>
                <w:lang w:val="en-GB"/>
              </w:rPr>
              <w:t>.</w:t>
            </w:r>
          </w:p>
          <w:p w14:paraId="6BB115B7" w14:textId="683B9F28" w:rsidR="00673423" w:rsidRPr="00345A54" w:rsidRDefault="00673423" w:rsidP="00673423">
            <w:pPr>
              <w:rPr>
                <w:rFonts w:cs="Arial"/>
                <w:lang w:val="en-GB"/>
              </w:rPr>
            </w:pPr>
          </w:p>
        </w:tc>
        <w:tc>
          <w:tcPr>
            <w:tcW w:w="3543" w:type="dxa"/>
            <w:vMerge/>
            <w:hideMark/>
          </w:tcPr>
          <w:p w14:paraId="039AF689" w14:textId="4F710C35" w:rsidR="00673423" w:rsidRPr="00345A54" w:rsidRDefault="00673423" w:rsidP="00673423">
            <w:pPr>
              <w:rPr>
                <w:rFonts w:cs="Arial"/>
                <w:lang w:val="en-GB"/>
              </w:rPr>
            </w:pPr>
          </w:p>
        </w:tc>
      </w:tr>
      <w:tr w:rsidR="00673423" w:rsidRPr="004A1BD7" w14:paraId="46E3A371" w14:textId="77777777" w:rsidTr="00153BC5">
        <w:tc>
          <w:tcPr>
            <w:tcW w:w="2405" w:type="dxa"/>
            <w:hideMark/>
          </w:tcPr>
          <w:p w14:paraId="29456DCE" w14:textId="611D938B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345A54">
              <w:rPr>
                <w:rFonts w:cs="Arial"/>
                <w:b/>
                <w:bCs/>
                <w:lang w:val="en-GB"/>
              </w:rPr>
              <w:t> </w:t>
            </w:r>
            <w:r w:rsidRPr="004A1BD7">
              <w:rPr>
                <w:rFonts w:cs="Arial"/>
                <w:b/>
                <w:bCs/>
                <w:lang w:val="en-US"/>
              </w:rPr>
              <w:t>18- 20 Visit Bologna</w:t>
            </w:r>
          </w:p>
        </w:tc>
        <w:tc>
          <w:tcPr>
            <w:tcW w:w="3119" w:type="dxa"/>
            <w:hideMark/>
          </w:tcPr>
          <w:p w14:paraId="70464EB2" w14:textId="084CB403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16.30-17.15 WG5</w:t>
            </w:r>
          </w:p>
          <w:p w14:paraId="52857B8A" w14:textId="544A92E1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Main lecture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25’</w:t>
            </w:r>
            <w:r>
              <w:rPr>
                <w:rFonts w:cs="Arial"/>
                <w:b/>
                <w:bCs/>
                <w:lang w:val="en-US"/>
              </w:rPr>
              <w:t>)</w:t>
            </w:r>
            <w:r w:rsidRPr="004A1BD7">
              <w:rPr>
                <w:rFonts w:cs="Arial"/>
                <w:b/>
                <w:bCs/>
                <w:lang w:val="en-US"/>
              </w:rPr>
              <w:t xml:space="preserve">: Susanne Bremen-Hoffman (JRC) </w:t>
            </w:r>
            <w:r w:rsidRPr="004A1BD7">
              <w:rPr>
                <w:rFonts w:cs="Arial"/>
                <w:lang w:val="en-US"/>
              </w:rPr>
              <w:t>Integrating New Approach Methodologies (NAMs) into Nanomaterial Risk Assessment: A Proposed Qualification Framework for NAMS.</w:t>
            </w:r>
          </w:p>
          <w:p w14:paraId="3A62B402" w14:textId="3CCF3489" w:rsidR="00673423" w:rsidRPr="004A1BD7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Two Short lectures </w:t>
            </w:r>
            <w:r>
              <w:rPr>
                <w:rFonts w:cs="Arial"/>
                <w:b/>
                <w:bCs/>
                <w:lang w:val="en-US"/>
              </w:rPr>
              <w:t>(</w:t>
            </w:r>
            <w:r w:rsidRPr="004A1BD7">
              <w:rPr>
                <w:rFonts w:cs="Arial"/>
                <w:b/>
                <w:bCs/>
                <w:lang w:val="en-US"/>
              </w:rPr>
              <w:t>15’ and 5’</w:t>
            </w:r>
            <w:r>
              <w:rPr>
                <w:rFonts w:cs="Arial"/>
                <w:b/>
                <w:bCs/>
                <w:lang w:val="en-US"/>
              </w:rPr>
              <w:t xml:space="preserve"> respectively)</w:t>
            </w:r>
            <w:r w:rsidRPr="004A1BD7">
              <w:rPr>
                <w:rFonts w:cs="Arial"/>
                <w:b/>
                <w:bCs/>
                <w:lang w:val="en-US"/>
              </w:rPr>
              <w:t>:</w:t>
            </w:r>
          </w:p>
          <w:p w14:paraId="419A74F5" w14:textId="70AFBA9F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 xml:space="preserve">Celine </w:t>
            </w:r>
            <w:proofErr w:type="spellStart"/>
            <w:r w:rsidRPr="004A1BD7">
              <w:rPr>
                <w:rFonts w:cs="Arial"/>
                <w:b/>
                <w:bCs/>
                <w:lang w:val="en-US"/>
              </w:rPr>
              <w:t>Druart</w:t>
            </w:r>
            <w:proofErr w:type="spellEnd"/>
            <w:r w:rsidRPr="004A1BD7">
              <w:rPr>
                <w:rFonts w:cs="Arial"/>
                <w:b/>
                <w:bCs/>
                <w:lang w:val="en-US"/>
              </w:rPr>
              <w:t xml:space="preserve"> (Pharmabiotic Research Institute)</w:t>
            </w:r>
            <w:r w:rsidRPr="004A1BD7">
              <w:rPr>
                <w:rFonts w:cs="Arial"/>
                <w:lang w:val="en-US"/>
              </w:rPr>
              <w:t xml:space="preserve"> Bridging science and regulation: why preclinical models are essential for microbiome-derived products evaluation.</w:t>
            </w:r>
          </w:p>
          <w:p w14:paraId="65104CEC" w14:textId="0C96305F" w:rsidR="00673423" w:rsidRPr="004A1BD7" w:rsidRDefault="00673423" w:rsidP="00673423">
            <w:pPr>
              <w:rPr>
                <w:rFonts w:cs="Arial"/>
                <w:lang w:val="en-US"/>
              </w:rPr>
            </w:pPr>
            <w:proofErr w:type="spellStart"/>
            <w:r w:rsidRPr="004A1BD7">
              <w:rPr>
                <w:rFonts w:cs="Arial"/>
                <w:b/>
                <w:bCs/>
                <w:lang w:val="en-US"/>
              </w:rPr>
              <w:t>Georginana</w:t>
            </w:r>
            <w:proofErr w:type="spellEnd"/>
            <w:r w:rsidRPr="004A1BD7">
              <w:rPr>
                <w:rFonts w:cs="Arial"/>
                <w:b/>
                <w:bCs/>
                <w:lang w:val="en-US"/>
              </w:rPr>
              <w:t xml:space="preserve"> Gilca (University of Medicine and Pharmacy of Iasi)</w:t>
            </w:r>
            <w:r w:rsidRPr="004A1BD7">
              <w:rPr>
                <w:rFonts w:cs="Arial"/>
                <w:lang w:val="en-US"/>
              </w:rPr>
              <w:t xml:space="preserve"> Fostering implementation of translational research in fecal microbiota transplantation- a focus on building translational teams.</w:t>
            </w:r>
          </w:p>
          <w:p w14:paraId="5445E472" w14:textId="68111877" w:rsidR="00673423" w:rsidRPr="004A1BD7" w:rsidRDefault="00673423" w:rsidP="00673423">
            <w:pPr>
              <w:rPr>
                <w:rFonts w:cs="Arial"/>
                <w:lang w:val="en-US"/>
              </w:rPr>
            </w:pPr>
          </w:p>
        </w:tc>
        <w:tc>
          <w:tcPr>
            <w:tcW w:w="3543" w:type="dxa"/>
            <w:hideMark/>
          </w:tcPr>
          <w:p w14:paraId="1859C4E7" w14:textId="2217E746" w:rsidR="00673423" w:rsidRPr="00042471" w:rsidRDefault="00673423" w:rsidP="00673423">
            <w:pPr>
              <w:rPr>
                <w:rFonts w:cs="Arial"/>
                <w:b/>
                <w:bCs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</w:t>
            </w:r>
          </w:p>
        </w:tc>
      </w:tr>
      <w:tr w:rsidR="00673423" w:rsidRPr="004A1BD7" w14:paraId="43D1341F" w14:textId="77777777" w:rsidTr="00153BC5">
        <w:tc>
          <w:tcPr>
            <w:tcW w:w="2405" w:type="dxa"/>
            <w:hideMark/>
          </w:tcPr>
          <w:p w14:paraId="2601F181" w14:textId="7344A7E4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Free dinner</w:t>
            </w:r>
          </w:p>
        </w:tc>
        <w:tc>
          <w:tcPr>
            <w:tcW w:w="3119" w:type="dxa"/>
            <w:hideMark/>
          </w:tcPr>
          <w:p w14:paraId="339AB855" w14:textId="42C7A0EF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20.00 Social Dinner</w:t>
            </w:r>
          </w:p>
        </w:tc>
        <w:tc>
          <w:tcPr>
            <w:tcW w:w="3543" w:type="dxa"/>
            <w:hideMark/>
          </w:tcPr>
          <w:p w14:paraId="519E5FE2" w14:textId="77777777" w:rsidR="00673423" w:rsidRPr="004A1BD7" w:rsidRDefault="00673423" w:rsidP="00673423">
            <w:pPr>
              <w:rPr>
                <w:rFonts w:cs="Arial"/>
                <w:lang w:val="en-US"/>
              </w:rPr>
            </w:pPr>
            <w:r w:rsidRPr="004A1BD7">
              <w:rPr>
                <w:rFonts w:cs="Arial"/>
                <w:b/>
                <w:bCs/>
                <w:lang w:val="en-US"/>
              </w:rPr>
              <w:t> </w:t>
            </w:r>
          </w:p>
        </w:tc>
      </w:tr>
    </w:tbl>
    <w:p w14:paraId="7221CF07" w14:textId="77777777" w:rsidR="00464E0F" w:rsidRDefault="00464E0F" w:rsidP="00A62A68"/>
    <w:sectPr w:rsidR="0046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3245E"/>
    <w:multiLevelType w:val="hybridMultilevel"/>
    <w:tmpl w:val="B310F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A5D"/>
    <w:multiLevelType w:val="hybridMultilevel"/>
    <w:tmpl w:val="FDA8D90E"/>
    <w:lvl w:ilvl="0" w:tplc="A5124E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05B53"/>
    <w:multiLevelType w:val="multilevel"/>
    <w:tmpl w:val="8182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950741">
    <w:abstractNumId w:val="1"/>
  </w:num>
  <w:num w:numId="2" w16cid:durableId="842626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4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D4"/>
    <w:rsid w:val="00014160"/>
    <w:rsid w:val="00023A12"/>
    <w:rsid w:val="00042471"/>
    <w:rsid w:val="00095594"/>
    <w:rsid w:val="000B5683"/>
    <w:rsid w:val="000C1EFD"/>
    <w:rsid w:val="000E412B"/>
    <w:rsid w:val="000E62CC"/>
    <w:rsid w:val="000F27CB"/>
    <w:rsid w:val="00104AD4"/>
    <w:rsid w:val="001171B9"/>
    <w:rsid w:val="0013130B"/>
    <w:rsid w:val="001434D2"/>
    <w:rsid w:val="00152CD8"/>
    <w:rsid w:val="00153BC5"/>
    <w:rsid w:val="00180137"/>
    <w:rsid w:val="00181172"/>
    <w:rsid w:val="00197D4E"/>
    <w:rsid w:val="001A0406"/>
    <w:rsid w:val="001E3205"/>
    <w:rsid w:val="001E4EAD"/>
    <w:rsid w:val="001E70D5"/>
    <w:rsid w:val="002050E5"/>
    <w:rsid w:val="00235484"/>
    <w:rsid w:val="002547D7"/>
    <w:rsid w:val="00272796"/>
    <w:rsid w:val="00276072"/>
    <w:rsid w:val="00293560"/>
    <w:rsid w:val="002A4A7B"/>
    <w:rsid w:val="00306B28"/>
    <w:rsid w:val="00314C54"/>
    <w:rsid w:val="00322E4F"/>
    <w:rsid w:val="00337B02"/>
    <w:rsid w:val="00345A54"/>
    <w:rsid w:val="00347618"/>
    <w:rsid w:val="003A756C"/>
    <w:rsid w:val="003F1DF0"/>
    <w:rsid w:val="004173C6"/>
    <w:rsid w:val="00430481"/>
    <w:rsid w:val="0043531F"/>
    <w:rsid w:val="00464E0F"/>
    <w:rsid w:val="0047236B"/>
    <w:rsid w:val="00474250"/>
    <w:rsid w:val="004A1BD7"/>
    <w:rsid w:val="004A230B"/>
    <w:rsid w:val="004A7727"/>
    <w:rsid w:val="004F234B"/>
    <w:rsid w:val="00520E58"/>
    <w:rsid w:val="00527655"/>
    <w:rsid w:val="00531D8B"/>
    <w:rsid w:val="00547F7F"/>
    <w:rsid w:val="0057378B"/>
    <w:rsid w:val="0059390B"/>
    <w:rsid w:val="00594B77"/>
    <w:rsid w:val="005C222C"/>
    <w:rsid w:val="005E102B"/>
    <w:rsid w:val="005F757A"/>
    <w:rsid w:val="00635AE9"/>
    <w:rsid w:val="00635BFA"/>
    <w:rsid w:val="006470BD"/>
    <w:rsid w:val="006546C3"/>
    <w:rsid w:val="00670ADA"/>
    <w:rsid w:val="00673423"/>
    <w:rsid w:val="00675111"/>
    <w:rsid w:val="00696232"/>
    <w:rsid w:val="006A5966"/>
    <w:rsid w:val="006A7A09"/>
    <w:rsid w:val="006B11EF"/>
    <w:rsid w:val="006E5350"/>
    <w:rsid w:val="006F274C"/>
    <w:rsid w:val="006F4CD4"/>
    <w:rsid w:val="00700326"/>
    <w:rsid w:val="00773429"/>
    <w:rsid w:val="007D3CA6"/>
    <w:rsid w:val="007E503A"/>
    <w:rsid w:val="007F38B0"/>
    <w:rsid w:val="00800BC5"/>
    <w:rsid w:val="00812D0F"/>
    <w:rsid w:val="00844B44"/>
    <w:rsid w:val="00846160"/>
    <w:rsid w:val="00846993"/>
    <w:rsid w:val="00857D84"/>
    <w:rsid w:val="00860004"/>
    <w:rsid w:val="008D49F4"/>
    <w:rsid w:val="008F0433"/>
    <w:rsid w:val="00905A8C"/>
    <w:rsid w:val="00917F1D"/>
    <w:rsid w:val="0093032E"/>
    <w:rsid w:val="0093137C"/>
    <w:rsid w:val="00931A28"/>
    <w:rsid w:val="00954FC0"/>
    <w:rsid w:val="009568E0"/>
    <w:rsid w:val="00987E3B"/>
    <w:rsid w:val="009A182F"/>
    <w:rsid w:val="009C4C9C"/>
    <w:rsid w:val="00A34936"/>
    <w:rsid w:val="00A62A68"/>
    <w:rsid w:val="00A75CD7"/>
    <w:rsid w:val="00A86F38"/>
    <w:rsid w:val="00AD70DC"/>
    <w:rsid w:val="00AD7E6B"/>
    <w:rsid w:val="00AF1F60"/>
    <w:rsid w:val="00AF49DA"/>
    <w:rsid w:val="00B37A8B"/>
    <w:rsid w:val="00B55094"/>
    <w:rsid w:val="00B6724A"/>
    <w:rsid w:val="00B73177"/>
    <w:rsid w:val="00B81F1B"/>
    <w:rsid w:val="00BA5CBD"/>
    <w:rsid w:val="00BB6445"/>
    <w:rsid w:val="00BC2D37"/>
    <w:rsid w:val="00BE6FB0"/>
    <w:rsid w:val="00BF0814"/>
    <w:rsid w:val="00C47AD9"/>
    <w:rsid w:val="00C55040"/>
    <w:rsid w:val="00C853C5"/>
    <w:rsid w:val="00C9006B"/>
    <w:rsid w:val="00C961D2"/>
    <w:rsid w:val="00C97E1F"/>
    <w:rsid w:val="00CC446C"/>
    <w:rsid w:val="00CD7708"/>
    <w:rsid w:val="00CE5E09"/>
    <w:rsid w:val="00CE721B"/>
    <w:rsid w:val="00D140A1"/>
    <w:rsid w:val="00D2640F"/>
    <w:rsid w:val="00D326A6"/>
    <w:rsid w:val="00D5743A"/>
    <w:rsid w:val="00D6728C"/>
    <w:rsid w:val="00D67ED7"/>
    <w:rsid w:val="00D86528"/>
    <w:rsid w:val="00D91547"/>
    <w:rsid w:val="00DD2B88"/>
    <w:rsid w:val="00DD6E06"/>
    <w:rsid w:val="00DF4808"/>
    <w:rsid w:val="00DF4AD0"/>
    <w:rsid w:val="00DF4C04"/>
    <w:rsid w:val="00E246C6"/>
    <w:rsid w:val="00E6448B"/>
    <w:rsid w:val="00E6495F"/>
    <w:rsid w:val="00E7548D"/>
    <w:rsid w:val="00EA1F7B"/>
    <w:rsid w:val="00EA2630"/>
    <w:rsid w:val="00EB7903"/>
    <w:rsid w:val="00EC737D"/>
    <w:rsid w:val="00EE3CBF"/>
    <w:rsid w:val="00EE699D"/>
    <w:rsid w:val="00F17F57"/>
    <w:rsid w:val="00F42451"/>
    <w:rsid w:val="00F66090"/>
    <w:rsid w:val="00F83882"/>
    <w:rsid w:val="00F92BF5"/>
    <w:rsid w:val="00F94122"/>
    <w:rsid w:val="00F977AB"/>
    <w:rsid w:val="00FC504F"/>
    <w:rsid w:val="00FD4910"/>
    <w:rsid w:val="00FD70B3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752"/>
  <w15:chartTrackingRefBased/>
  <w15:docId w15:val="{260B936C-1F23-4993-9DD6-9E645438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D4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A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A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A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A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A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A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A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A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4AD4"/>
    <w:pPr>
      <w:spacing w:after="0" w:line="240" w:lineRule="auto"/>
    </w:pPr>
    <w:rPr>
      <w:rFonts w:ascii="Arial" w:hAnsi="Arial" w:cs="Effra"/>
      <w:color w:val="000000" w:themeColor="text1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44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4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4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mFkZTg3Y2QtNTY2Ni00ZmIwLTljOWMtY2VlZTU2MzMwYmM1%40thread.v2/0?context=%7b%22Tid%22%3a%22e99647dc-1b08-454a-bf8c-699181b389ab%22%2c%22Oid%22%3a%227595c34d-a4b5-481a-ae67-213129e17dd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Gianotti</dc:creator>
  <cp:keywords/>
  <dc:description/>
  <cp:lastModifiedBy>Andrea Gianotti</cp:lastModifiedBy>
  <cp:revision>22</cp:revision>
  <dcterms:created xsi:type="dcterms:W3CDTF">2025-05-08T15:32:00Z</dcterms:created>
  <dcterms:modified xsi:type="dcterms:W3CDTF">2025-05-09T11:30:00Z</dcterms:modified>
</cp:coreProperties>
</file>